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006974" w14:textId="66A0F552" w:rsidR="004169B0" w:rsidRPr="00853BFD" w:rsidRDefault="004169B0" w:rsidP="004169B0">
      <w:pPr>
        <w:jc w:val="both"/>
        <w:rPr>
          <w:rFonts w:ascii="IBM Plex Sans" w:hAnsi="IBM Plex Sans"/>
          <w:sz w:val="20"/>
          <w:szCs w:val="20"/>
          <w:lang w:val="en-US"/>
        </w:rPr>
      </w:pPr>
      <w:r w:rsidRPr="00853BFD">
        <w:rPr>
          <w:rFonts w:ascii="IBM Plex Sans" w:hAnsi="IBM Plex Sans"/>
          <w:sz w:val="20"/>
          <w:szCs w:val="20"/>
          <w:lang w:val="en-US"/>
        </w:rPr>
        <w:t xml:space="preserve">PRESS RELEASE | ECULLY, FRANCE – </w:t>
      </w:r>
      <w:r w:rsidR="008D007C" w:rsidRPr="00853BFD">
        <w:rPr>
          <w:rFonts w:ascii="IBM Plex Sans" w:hAnsi="IBM Plex Sans"/>
          <w:sz w:val="20"/>
          <w:szCs w:val="20"/>
          <w:lang w:val="en-US"/>
        </w:rPr>
        <w:t>March</w:t>
      </w:r>
      <w:r w:rsidR="007F7DF5" w:rsidRPr="00853BFD">
        <w:rPr>
          <w:rFonts w:ascii="IBM Plex Sans" w:hAnsi="IBM Plex Sans"/>
          <w:sz w:val="20"/>
          <w:szCs w:val="20"/>
          <w:lang w:val="en-US"/>
        </w:rPr>
        <w:t xml:space="preserve"> </w:t>
      </w:r>
      <w:r w:rsidR="008D007C" w:rsidRPr="00853BFD">
        <w:rPr>
          <w:rFonts w:ascii="IBM Plex Sans" w:hAnsi="IBM Plex Sans"/>
          <w:sz w:val="20"/>
          <w:szCs w:val="20"/>
          <w:lang w:val="en-US"/>
        </w:rPr>
        <w:t>5</w:t>
      </w:r>
      <w:r w:rsidR="005877D2" w:rsidRPr="00853BFD">
        <w:rPr>
          <w:rFonts w:ascii="IBM Plex Sans" w:hAnsi="IBM Plex Sans"/>
          <w:sz w:val="20"/>
          <w:szCs w:val="20"/>
          <w:lang w:val="en-US"/>
        </w:rPr>
        <w:t>, 202</w:t>
      </w:r>
      <w:r w:rsidR="008D007C" w:rsidRPr="00853BFD">
        <w:rPr>
          <w:rFonts w:ascii="IBM Plex Sans" w:hAnsi="IBM Plex Sans"/>
          <w:sz w:val="20"/>
          <w:szCs w:val="20"/>
          <w:lang w:val="en-US"/>
        </w:rPr>
        <w:t>6</w:t>
      </w:r>
    </w:p>
    <w:p w14:paraId="3895101D" w14:textId="77777777" w:rsidR="00853BFD" w:rsidRPr="00853BFD" w:rsidRDefault="00853BFD" w:rsidP="00853BFD">
      <w:pPr>
        <w:jc w:val="both"/>
        <w:rPr>
          <w:rFonts w:ascii="IBM Plex Sans" w:hAnsi="IBM Plex Sans"/>
          <w:b/>
          <w:bCs/>
          <w:sz w:val="20"/>
          <w:szCs w:val="20"/>
          <w:lang w:val="en-US"/>
        </w:rPr>
      </w:pPr>
    </w:p>
    <w:p w14:paraId="2A1C71A1" w14:textId="1CE04CD3" w:rsidR="00853BFD" w:rsidRPr="00853BFD" w:rsidRDefault="00853BFD" w:rsidP="00853BFD">
      <w:pPr>
        <w:jc w:val="both"/>
        <w:rPr>
          <w:rFonts w:ascii="IBM Plex Sans" w:hAnsi="IBM Plex Sans"/>
          <w:sz w:val="24"/>
          <w:szCs w:val="24"/>
          <w:lang w:val="en-US"/>
        </w:rPr>
      </w:pPr>
      <w:r w:rsidRPr="00853BFD">
        <w:rPr>
          <w:rFonts w:ascii="IBM Plex Sans" w:hAnsi="IBM Plex Sans"/>
          <w:b/>
          <w:bCs/>
          <w:sz w:val="24"/>
          <w:szCs w:val="24"/>
          <w:lang w:val="en-US"/>
        </w:rPr>
        <w:t>S</w:t>
      </w:r>
      <w:r>
        <w:rPr>
          <w:rFonts w:ascii="IBM Plex Sans" w:hAnsi="IBM Plex Sans"/>
          <w:b/>
          <w:bCs/>
          <w:sz w:val="24"/>
          <w:szCs w:val="24"/>
          <w:lang w:val="en-US"/>
        </w:rPr>
        <w:t>EQENS</w:t>
      </w:r>
      <w:r w:rsidRPr="00853BFD">
        <w:rPr>
          <w:rFonts w:ascii="IBM Plex Sans" w:hAnsi="IBM Plex Sans"/>
          <w:b/>
          <w:bCs/>
          <w:sz w:val="24"/>
          <w:szCs w:val="24"/>
          <w:lang w:val="en-US"/>
        </w:rPr>
        <w:t xml:space="preserve"> announces the sale of its Limoges Botanical Actives and In Vitro Diagnostics activities to Solabia</w:t>
      </w:r>
      <w:r w:rsidRPr="00853BFD">
        <w:rPr>
          <w:rFonts w:ascii="IBM Plex Sans" w:hAnsi="IBM Plex Sans"/>
          <w:sz w:val="24"/>
          <w:szCs w:val="24"/>
          <w:lang w:val="en-US"/>
        </w:rPr>
        <w:t> </w:t>
      </w:r>
    </w:p>
    <w:p w14:paraId="68DC2052" w14:textId="77777777" w:rsidR="00853BFD" w:rsidRPr="00853BFD" w:rsidRDefault="00853BFD" w:rsidP="00853BFD">
      <w:pPr>
        <w:jc w:val="both"/>
        <w:rPr>
          <w:rFonts w:ascii="IBM Plex Sans" w:hAnsi="IBM Plex Sans"/>
          <w:sz w:val="20"/>
          <w:szCs w:val="20"/>
          <w:lang w:val="en-US"/>
        </w:rPr>
      </w:pPr>
    </w:p>
    <w:p w14:paraId="20400335" w14:textId="538FBCA6" w:rsidR="00853BFD" w:rsidRDefault="00853BFD" w:rsidP="00853BFD">
      <w:pPr>
        <w:jc w:val="both"/>
        <w:rPr>
          <w:rFonts w:ascii="IBM Plex Sans" w:hAnsi="IBM Plex Sans"/>
          <w:sz w:val="20"/>
          <w:szCs w:val="20"/>
          <w:lang w:val="en-US"/>
        </w:rPr>
      </w:pPr>
      <w:r w:rsidRPr="00853BFD">
        <w:rPr>
          <w:rFonts w:ascii="IBM Plex Sans" w:hAnsi="IBM Plex Sans"/>
          <w:sz w:val="20"/>
          <w:szCs w:val="20"/>
          <w:lang w:val="en-US"/>
        </w:rPr>
        <w:t>S</w:t>
      </w:r>
      <w:r>
        <w:rPr>
          <w:rFonts w:ascii="IBM Plex Sans" w:hAnsi="IBM Plex Sans"/>
          <w:sz w:val="20"/>
          <w:szCs w:val="20"/>
          <w:lang w:val="en-US"/>
        </w:rPr>
        <w:t>EQENS</w:t>
      </w:r>
      <w:r w:rsidRPr="00853BFD">
        <w:rPr>
          <w:rFonts w:ascii="IBM Plex Sans" w:hAnsi="IBM Plex Sans"/>
          <w:sz w:val="20"/>
          <w:szCs w:val="20"/>
          <w:lang w:val="en-US"/>
        </w:rPr>
        <w:t xml:space="preserve"> today announced the sale</w:t>
      </w:r>
      <w:r w:rsidR="00F535F4">
        <w:rPr>
          <w:rFonts w:ascii="IBM Plex Sans" w:hAnsi="IBM Plex Sans"/>
          <w:sz w:val="20"/>
          <w:szCs w:val="20"/>
          <w:lang w:val="en-US"/>
        </w:rPr>
        <w:t xml:space="preserve"> </w:t>
      </w:r>
      <w:r w:rsidRPr="00853BFD">
        <w:rPr>
          <w:rFonts w:ascii="IBM Plex Sans" w:hAnsi="IBM Plex Sans"/>
          <w:sz w:val="20"/>
          <w:szCs w:val="20"/>
          <w:lang w:val="en-US"/>
        </w:rPr>
        <w:t>of its Botanical Actives and In Vitro Diagnostics (“IVD”) activities located in Limoges (France)</w:t>
      </w:r>
      <w:r w:rsidR="00F535F4">
        <w:rPr>
          <w:rFonts w:ascii="IBM Plex Sans" w:hAnsi="IBM Plex Sans"/>
          <w:sz w:val="20"/>
          <w:szCs w:val="20"/>
          <w:lang w:val="en-US"/>
        </w:rPr>
        <w:t xml:space="preserve"> </w:t>
      </w:r>
      <w:r w:rsidRPr="00853BFD">
        <w:rPr>
          <w:rFonts w:ascii="IBM Plex Sans" w:hAnsi="IBM Plex Sans"/>
          <w:sz w:val="20"/>
          <w:szCs w:val="20"/>
          <w:lang w:val="en-US"/>
        </w:rPr>
        <w:t>to Solabia, a global player specializing in high</w:t>
      </w:r>
      <w:r w:rsidRPr="00853BFD">
        <w:rPr>
          <w:rFonts w:ascii="IBM Plex Sans" w:hAnsi="IBM Plex Sans"/>
          <w:sz w:val="20"/>
          <w:szCs w:val="20"/>
          <w:lang w:val="en-US"/>
        </w:rPr>
        <w:noBreakHyphen/>
        <w:t>value natural ingredients for personal care, life sciences and diagnostics applications.  </w:t>
      </w:r>
    </w:p>
    <w:p w14:paraId="27CA6A1F" w14:textId="77777777" w:rsidR="00853BFD" w:rsidRPr="00853BFD" w:rsidRDefault="00853BFD" w:rsidP="00853BFD">
      <w:pPr>
        <w:jc w:val="both"/>
        <w:rPr>
          <w:rFonts w:ascii="IBM Plex Sans" w:hAnsi="IBM Plex Sans"/>
          <w:sz w:val="20"/>
          <w:szCs w:val="20"/>
          <w:lang w:val="en-US"/>
        </w:rPr>
      </w:pPr>
    </w:p>
    <w:p w14:paraId="52C7DA4D" w14:textId="5EF71DDE" w:rsidR="00853BFD" w:rsidRDefault="00853BFD" w:rsidP="00853BFD">
      <w:pPr>
        <w:jc w:val="both"/>
        <w:rPr>
          <w:rFonts w:ascii="IBM Plex Sans" w:hAnsi="IBM Plex Sans"/>
          <w:sz w:val="20"/>
          <w:szCs w:val="20"/>
          <w:lang w:val="en-US"/>
        </w:rPr>
      </w:pPr>
      <w:r w:rsidRPr="00853BFD">
        <w:rPr>
          <w:rFonts w:ascii="IBM Plex Sans" w:hAnsi="IBM Plex Sans"/>
          <w:sz w:val="20"/>
          <w:szCs w:val="20"/>
          <w:lang w:val="en-US"/>
        </w:rPr>
        <w:t>This transaction is fully aligned with S</w:t>
      </w:r>
      <w:r>
        <w:rPr>
          <w:rFonts w:ascii="IBM Plex Sans" w:hAnsi="IBM Plex Sans"/>
          <w:sz w:val="20"/>
          <w:szCs w:val="20"/>
          <w:lang w:val="en-US"/>
        </w:rPr>
        <w:t>EQENS</w:t>
      </w:r>
      <w:r w:rsidRPr="00853BFD">
        <w:rPr>
          <w:rFonts w:ascii="IBM Plex Sans" w:hAnsi="IBM Plex Sans"/>
          <w:sz w:val="20"/>
          <w:szCs w:val="20"/>
          <w:lang w:val="en-US"/>
        </w:rPr>
        <w:t>’ strategic roadmap, which focuses on strengthening its core Pharmaceutical Solutions and selective Specialty Ingredients activities. The divestment enables S</w:t>
      </w:r>
      <w:r>
        <w:rPr>
          <w:rFonts w:ascii="IBM Plex Sans" w:hAnsi="IBM Plex Sans"/>
          <w:sz w:val="20"/>
          <w:szCs w:val="20"/>
          <w:lang w:val="en-US"/>
        </w:rPr>
        <w:t>EQENS</w:t>
      </w:r>
      <w:r w:rsidRPr="00853BFD">
        <w:rPr>
          <w:rFonts w:ascii="IBM Plex Sans" w:hAnsi="IBM Plex Sans"/>
          <w:sz w:val="20"/>
          <w:szCs w:val="20"/>
          <w:lang w:val="en-US"/>
        </w:rPr>
        <w:t xml:space="preserve"> to further concentrate its resources on its strategic priorities, while ensuring a solid and long</w:t>
      </w:r>
      <w:r w:rsidRPr="00853BFD">
        <w:rPr>
          <w:rFonts w:ascii="IBM Plex Sans" w:hAnsi="IBM Plex Sans"/>
          <w:sz w:val="20"/>
          <w:szCs w:val="20"/>
          <w:lang w:val="en-US"/>
        </w:rPr>
        <w:noBreakHyphen/>
        <w:t>term industrial future for the Limoges site within a group whose core mission is fully aligned with its activities.  </w:t>
      </w:r>
    </w:p>
    <w:p w14:paraId="77C5EC71" w14:textId="77777777" w:rsidR="00853BFD" w:rsidRPr="00853BFD" w:rsidRDefault="00853BFD" w:rsidP="00853BFD">
      <w:pPr>
        <w:jc w:val="both"/>
        <w:rPr>
          <w:rFonts w:ascii="IBM Plex Sans" w:hAnsi="IBM Plex Sans"/>
          <w:sz w:val="20"/>
          <w:szCs w:val="20"/>
          <w:lang w:val="en-US"/>
        </w:rPr>
      </w:pPr>
    </w:p>
    <w:p w14:paraId="580E91D7" w14:textId="77777777" w:rsidR="00853BFD" w:rsidRDefault="00853BFD" w:rsidP="00853BFD">
      <w:pPr>
        <w:jc w:val="both"/>
        <w:rPr>
          <w:rFonts w:ascii="IBM Plex Sans" w:hAnsi="IBM Plex Sans"/>
          <w:sz w:val="20"/>
          <w:szCs w:val="20"/>
          <w:lang w:val="en-US"/>
        </w:rPr>
      </w:pPr>
      <w:r w:rsidRPr="00853BFD">
        <w:rPr>
          <w:rFonts w:ascii="IBM Plex Sans" w:hAnsi="IBM Plex Sans"/>
          <w:sz w:val="20"/>
          <w:szCs w:val="20"/>
          <w:lang w:val="en-US"/>
        </w:rPr>
        <w:t>Through its integration into Solabia, the Limoges facility will benefit from a shareholder with a strong scientific culture, recognized expertise in botanical actives and diagnostics, and a long</w:t>
      </w:r>
      <w:r w:rsidRPr="00853BFD">
        <w:rPr>
          <w:rFonts w:ascii="IBM Plex Sans" w:hAnsi="IBM Plex Sans"/>
          <w:sz w:val="20"/>
          <w:szCs w:val="20"/>
          <w:lang w:val="en-US"/>
        </w:rPr>
        <w:noBreakHyphen/>
        <w:t>term development vision dedicated to personal care and life science markets, allowing the site and its teams to fully realize their potential. </w:t>
      </w:r>
    </w:p>
    <w:p w14:paraId="202A5B5E" w14:textId="77777777" w:rsidR="00853BFD" w:rsidRPr="00853BFD" w:rsidRDefault="00853BFD" w:rsidP="00853BFD">
      <w:pPr>
        <w:jc w:val="both"/>
        <w:rPr>
          <w:rFonts w:ascii="IBM Plex Sans" w:hAnsi="IBM Plex Sans"/>
          <w:sz w:val="20"/>
          <w:szCs w:val="20"/>
          <w:lang w:val="en-US"/>
        </w:rPr>
      </w:pPr>
    </w:p>
    <w:p w14:paraId="41FDC517" w14:textId="6334F7A7" w:rsidR="00853BFD" w:rsidRDefault="00853BFD" w:rsidP="00853BFD">
      <w:pPr>
        <w:jc w:val="both"/>
        <w:rPr>
          <w:rFonts w:ascii="IBM Plex Sans" w:hAnsi="IBM Plex Sans"/>
          <w:sz w:val="20"/>
          <w:szCs w:val="20"/>
          <w:lang w:val="en-US"/>
        </w:rPr>
      </w:pPr>
      <w:r w:rsidRPr="00853BFD">
        <w:rPr>
          <w:rFonts w:ascii="IBM Plex Sans" w:hAnsi="IBM Plex Sans"/>
          <w:sz w:val="20"/>
          <w:szCs w:val="20"/>
          <w:lang w:val="en-US"/>
        </w:rPr>
        <w:t>Pascal Villemagne, CEO of S</w:t>
      </w:r>
      <w:r w:rsidR="00F535F4">
        <w:rPr>
          <w:rFonts w:ascii="IBM Plex Sans" w:hAnsi="IBM Plex Sans"/>
          <w:sz w:val="20"/>
          <w:szCs w:val="20"/>
          <w:lang w:val="en-US"/>
        </w:rPr>
        <w:t>EQENS</w:t>
      </w:r>
      <w:r w:rsidRPr="00853BFD">
        <w:rPr>
          <w:rFonts w:ascii="IBM Plex Sans" w:hAnsi="IBM Plex Sans"/>
          <w:sz w:val="20"/>
          <w:szCs w:val="20"/>
          <w:lang w:val="en-US"/>
        </w:rPr>
        <w:t>, commented: “</w:t>
      </w:r>
      <w:r w:rsidRPr="00853BFD">
        <w:rPr>
          <w:rFonts w:ascii="IBM Plex Sans" w:hAnsi="IBM Plex Sans"/>
          <w:i/>
          <w:iCs/>
          <w:sz w:val="20"/>
          <w:szCs w:val="20"/>
          <w:lang w:val="en-US"/>
        </w:rPr>
        <w:t>This transaction is fully consistent with our long</w:t>
      </w:r>
      <w:r w:rsidRPr="00853BFD">
        <w:rPr>
          <w:rFonts w:ascii="IBM Plex Sans" w:hAnsi="IBM Plex Sans"/>
          <w:i/>
          <w:iCs/>
          <w:sz w:val="20"/>
          <w:szCs w:val="20"/>
          <w:lang w:val="en-US"/>
        </w:rPr>
        <w:noBreakHyphen/>
        <w:t>term strategic vision. It enables Seqens to further focus on its core priorities, while ensuring that the Limoges teams join a group whose industrial culture, scientific expertise and growth ambitions are strongly aligned with their activities. We are confident that this new chapter with Solabia offers a robust and sustainable platform for the continued development of the site, its people and its know</w:t>
      </w:r>
      <w:r w:rsidRPr="00853BFD">
        <w:rPr>
          <w:rFonts w:ascii="IBM Plex Sans" w:hAnsi="IBM Plex Sans"/>
          <w:i/>
          <w:iCs/>
          <w:sz w:val="20"/>
          <w:szCs w:val="20"/>
          <w:lang w:val="en-US"/>
        </w:rPr>
        <w:noBreakHyphen/>
        <w:t>how.</w:t>
      </w:r>
      <w:r w:rsidRPr="00853BFD">
        <w:rPr>
          <w:rFonts w:ascii="IBM Plex Sans" w:hAnsi="IBM Plex Sans"/>
          <w:sz w:val="20"/>
          <w:szCs w:val="20"/>
          <w:lang w:val="en-US"/>
        </w:rPr>
        <w:t>” </w:t>
      </w:r>
    </w:p>
    <w:p w14:paraId="6EC5203A" w14:textId="77777777" w:rsidR="007C6B22" w:rsidRPr="00853BFD" w:rsidRDefault="007C6B22" w:rsidP="00853BFD">
      <w:pPr>
        <w:jc w:val="both"/>
        <w:rPr>
          <w:rFonts w:ascii="IBM Plex Sans" w:hAnsi="IBM Plex Sans"/>
          <w:sz w:val="20"/>
          <w:szCs w:val="20"/>
          <w:lang w:val="en-US"/>
        </w:rPr>
      </w:pPr>
    </w:p>
    <w:p w14:paraId="3F7ED0FB" w14:textId="1C05B80B" w:rsidR="00853BFD" w:rsidRDefault="00853BFD" w:rsidP="00853BFD">
      <w:pPr>
        <w:jc w:val="both"/>
        <w:rPr>
          <w:rFonts w:ascii="IBM Plex Sans" w:hAnsi="IBM Plex Sans"/>
          <w:sz w:val="20"/>
          <w:szCs w:val="20"/>
          <w:lang w:val="en-US"/>
        </w:rPr>
      </w:pPr>
      <w:r w:rsidRPr="00853BFD">
        <w:rPr>
          <w:rFonts w:ascii="IBM Plex Sans" w:hAnsi="IBM Plex Sans"/>
          <w:sz w:val="20"/>
          <w:szCs w:val="20"/>
          <w:lang w:val="en-US"/>
        </w:rPr>
        <w:t>In parallel, S</w:t>
      </w:r>
      <w:r w:rsidR="00F535F4">
        <w:rPr>
          <w:rFonts w:ascii="IBM Plex Sans" w:hAnsi="IBM Plex Sans"/>
          <w:sz w:val="20"/>
          <w:szCs w:val="20"/>
          <w:lang w:val="en-US"/>
        </w:rPr>
        <w:t>EQENS</w:t>
      </w:r>
      <w:r w:rsidRPr="00853BFD">
        <w:rPr>
          <w:rFonts w:ascii="IBM Plex Sans" w:hAnsi="IBM Plex Sans"/>
          <w:sz w:val="20"/>
          <w:szCs w:val="20"/>
          <w:lang w:val="en-US"/>
        </w:rPr>
        <w:t xml:space="preserve"> reaffirms its strong commitment to the Personal Care market. The Group will continue to support its customers through a focused portfolio built around its strategic segments, including nontraditional preservative solutions and performance ingredients, salicylic acid and derivatives, biotech</w:t>
      </w:r>
      <w:r w:rsidR="00F535F4">
        <w:rPr>
          <w:rFonts w:ascii="IBM Plex Sans" w:hAnsi="IBM Plex Sans"/>
          <w:sz w:val="20"/>
          <w:szCs w:val="20"/>
          <w:lang w:val="en-US"/>
        </w:rPr>
        <w:t>-</w:t>
      </w:r>
      <w:r w:rsidRPr="00853BFD">
        <w:rPr>
          <w:rFonts w:ascii="IBM Plex Sans" w:hAnsi="IBM Plex Sans"/>
          <w:sz w:val="20"/>
          <w:szCs w:val="20"/>
          <w:lang w:val="en-US"/>
        </w:rPr>
        <w:t>based ingredients, as well as custom solutions. </w:t>
      </w:r>
    </w:p>
    <w:p w14:paraId="419AFBBE" w14:textId="77777777" w:rsidR="00617345" w:rsidRDefault="00617345" w:rsidP="00853BFD">
      <w:pPr>
        <w:jc w:val="both"/>
        <w:rPr>
          <w:rFonts w:ascii="IBM Plex Sans" w:hAnsi="IBM Plex Sans"/>
          <w:sz w:val="20"/>
          <w:szCs w:val="20"/>
          <w:lang w:val="en-US"/>
        </w:rPr>
      </w:pPr>
    </w:p>
    <w:p w14:paraId="50B0B20E" w14:textId="77777777" w:rsidR="00617345" w:rsidRPr="00853BFD" w:rsidRDefault="00617345" w:rsidP="00853BFD">
      <w:pPr>
        <w:jc w:val="both"/>
        <w:rPr>
          <w:rFonts w:ascii="IBM Plex Sans" w:hAnsi="IBM Plex Sans"/>
          <w:sz w:val="20"/>
          <w:szCs w:val="20"/>
          <w:lang w:val="en-US"/>
        </w:rPr>
      </w:pPr>
    </w:p>
    <w:p w14:paraId="7F240DEA" w14:textId="77777777" w:rsidR="00853BFD" w:rsidRPr="00853BFD" w:rsidRDefault="00853BFD" w:rsidP="00853BFD">
      <w:pPr>
        <w:jc w:val="both"/>
        <w:rPr>
          <w:rFonts w:ascii="IBM Plex Sans" w:hAnsi="IBM Plex Sans"/>
          <w:sz w:val="20"/>
          <w:szCs w:val="20"/>
          <w:lang w:val="en-US"/>
        </w:rPr>
      </w:pPr>
      <w:r w:rsidRPr="00853BFD">
        <w:rPr>
          <w:rFonts w:ascii="IBM Plex Sans" w:hAnsi="IBM Plex Sans"/>
          <w:sz w:val="20"/>
          <w:szCs w:val="20"/>
          <w:lang w:val="en-US"/>
        </w:rPr>
        <w:t> </w:t>
      </w:r>
    </w:p>
    <w:p w14:paraId="2536B6F5" w14:textId="77777777" w:rsidR="00853BFD" w:rsidRPr="00853BFD" w:rsidRDefault="00853BFD" w:rsidP="00617345">
      <w:pPr>
        <w:spacing w:after="120"/>
        <w:jc w:val="both"/>
        <w:rPr>
          <w:rFonts w:ascii="IBM Plex Sans" w:hAnsi="IBM Plex Sans"/>
          <w:sz w:val="20"/>
          <w:szCs w:val="20"/>
          <w:lang w:val="en-US"/>
        </w:rPr>
      </w:pPr>
      <w:r w:rsidRPr="00853BFD">
        <w:rPr>
          <w:rFonts w:ascii="IBM Plex Sans" w:hAnsi="IBM Plex Sans"/>
          <w:b/>
          <w:bCs/>
          <w:i/>
          <w:iCs/>
          <w:sz w:val="20"/>
          <w:szCs w:val="20"/>
          <w:lang w:val="en-US"/>
        </w:rPr>
        <w:t>About SOLABIA:</w:t>
      </w:r>
      <w:r w:rsidRPr="00853BFD">
        <w:rPr>
          <w:rFonts w:ascii="IBM Plex Sans" w:hAnsi="IBM Plex Sans"/>
          <w:sz w:val="20"/>
          <w:szCs w:val="20"/>
          <w:lang w:val="en-US"/>
        </w:rPr>
        <w:t> </w:t>
      </w:r>
    </w:p>
    <w:p w14:paraId="3F158CAD" w14:textId="77777777" w:rsidR="00853BFD" w:rsidRPr="00853BFD" w:rsidRDefault="00853BFD" w:rsidP="00853BFD">
      <w:pPr>
        <w:jc w:val="both"/>
        <w:rPr>
          <w:rFonts w:ascii="IBM Plex Sans" w:hAnsi="IBM Plex Sans"/>
          <w:sz w:val="16"/>
          <w:szCs w:val="16"/>
          <w:lang w:val="en-US"/>
        </w:rPr>
      </w:pPr>
      <w:r w:rsidRPr="00853BFD">
        <w:rPr>
          <w:rFonts w:ascii="IBM Plex Sans" w:hAnsi="IBM Plex Sans"/>
          <w:i/>
          <w:iCs/>
          <w:sz w:val="16"/>
          <w:szCs w:val="16"/>
          <w:lang w:val="en-US"/>
        </w:rPr>
        <w:t>Solabia is a vertically integrated manufacturer of natural active ingredients for the cosmetics, nutraceutical, pharmaceutical, biotechnology and microbiology industries. Solabia is also a producer of culture media, supplements and detection kits for food testing, pharmaceutical industry and microbiology laboratories. With eleven production facilities and multiple R&amp;D centers, Solabia is a major player in the global cosmetics, nutraceutical and pharmaceutical ingredient markets with presence in North and South America, Europe, Asia, Middle-East and Africa.</w:t>
      </w:r>
      <w:r w:rsidRPr="00853BFD">
        <w:rPr>
          <w:rFonts w:ascii="IBM Plex Sans" w:hAnsi="IBM Plex Sans"/>
          <w:sz w:val="16"/>
          <w:szCs w:val="16"/>
          <w:lang w:val="en-US"/>
        </w:rPr>
        <w:t> </w:t>
      </w:r>
    </w:p>
    <w:p w14:paraId="38C2A11D" w14:textId="61F4B047" w:rsidR="00853BFD" w:rsidRDefault="00853BFD" w:rsidP="00853BFD">
      <w:pPr>
        <w:jc w:val="both"/>
        <w:rPr>
          <w:rFonts w:ascii="IBM Plex Sans" w:hAnsi="IBM Plex Sans"/>
          <w:sz w:val="16"/>
          <w:szCs w:val="16"/>
          <w:lang w:val="en-US"/>
        </w:rPr>
      </w:pPr>
      <w:r w:rsidRPr="00853BFD">
        <w:rPr>
          <w:rFonts w:ascii="IBM Plex Sans" w:hAnsi="IBM Plex Sans"/>
          <w:i/>
          <w:iCs/>
          <w:sz w:val="16"/>
          <w:szCs w:val="16"/>
          <w:lang w:val="en-US"/>
        </w:rPr>
        <w:t xml:space="preserve">More information can be found at: </w:t>
      </w:r>
      <w:hyperlink r:id="rId10" w:history="1">
        <w:r w:rsidR="00617345" w:rsidRPr="00853BFD">
          <w:rPr>
            <w:rStyle w:val="Lienhypertexte"/>
            <w:rFonts w:ascii="IBM Plex Sans" w:hAnsi="IBM Plex Sans" w:cs="Calibri"/>
            <w:i/>
            <w:iCs/>
            <w:sz w:val="16"/>
            <w:szCs w:val="16"/>
            <w:lang w:val="en-US"/>
          </w:rPr>
          <w:t>https://www.solabia.com/en</w:t>
        </w:r>
      </w:hyperlink>
      <w:r w:rsidRPr="00853BFD">
        <w:rPr>
          <w:rFonts w:ascii="IBM Plex Sans" w:hAnsi="IBM Plex Sans"/>
          <w:sz w:val="16"/>
          <w:szCs w:val="16"/>
          <w:lang w:val="en-US"/>
        </w:rPr>
        <w:t> </w:t>
      </w:r>
    </w:p>
    <w:p w14:paraId="0EE2AB80" w14:textId="77777777" w:rsidR="00617345" w:rsidRPr="00853BFD" w:rsidRDefault="00617345" w:rsidP="00853BFD">
      <w:pPr>
        <w:jc w:val="both"/>
        <w:rPr>
          <w:rFonts w:ascii="IBM Plex Sans" w:hAnsi="IBM Plex Sans"/>
          <w:sz w:val="16"/>
          <w:szCs w:val="16"/>
          <w:lang w:val="en-US"/>
        </w:rPr>
      </w:pPr>
    </w:p>
    <w:p w14:paraId="1DABAE54" w14:textId="77777777" w:rsidR="00853BFD" w:rsidRPr="00853BFD" w:rsidRDefault="00853BFD" w:rsidP="00617345">
      <w:pPr>
        <w:spacing w:after="120"/>
        <w:jc w:val="both"/>
        <w:rPr>
          <w:rFonts w:ascii="IBM Plex Sans" w:hAnsi="IBM Plex Sans"/>
          <w:sz w:val="20"/>
          <w:szCs w:val="20"/>
          <w:lang w:val="en-US"/>
        </w:rPr>
      </w:pPr>
      <w:r w:rsidRPr="00853BFD">
        <w:rPr>
          <w:rFonts w:ascii="IBM Plex Sans" w:hAnsi="IBM Plex Sans"/>
          <w:b/>
          <w:bCs/>
          <w:i/>
          <w:iCs/>
          <w:sz w:val="20"/>
          <w:szCs w:val="20"/>
          <w:lang w:val="en-US"/>
        </w:rPr>
        <w:t>About SEQENS:</w:t>
      </w:r>
      <w:r w:rsidRPr="00853BFD">
        <w:rPr>
          <w:rFonts w:ascii="IBM Plex Sans" w:hAnsi="IBM Plex Sans"/>
          <w:sz w:val="20"/>
          <w:szCs w:val="20"/>
          <w:lang w:val="en-US"/>
        </w:rPr>
        <w:t> </w:t>
      </w:r>
    </w:p>
    <w:p w14:paraId="5E4B895B" w14:textId="2D662A78" w:rsidR="00853BFD" w:rsidRPr="00853BFD" w:rsidRDefault="00853BFD" w:rsidP="00617345">
      <w:pPr>
        <w:jc w:val="both"/>
        <w:rPr>
          <w:rFonts w:ascii="IBM Plex Sans" w:hAnsi="IBM Plex Sans"/>
          <w:i/>
          <w:iCs/>
          <w:sz w:val="16"/>
          <w:szCs w:val="16"/>
          <w:lang w:val="en-US"/>
        </w:rPr>
      </w:pPr>
      <w:r w:rsidRPr="00853BFD">
        <w:rPr>
          <w:rFonts w:ascii="IBM Plex Sans" w:hAnsi="IBM Plex Sans"/>
          <w:i/>
          <w:iCs/>
          <w:sz w:val="16"/>
          <w:szCs w:val="16"/>
          <w:lang w:val="en-US"/>
        </w:rPr>
        <w:t>SEQENS is</w:t>
      </w:r>
      <w:r w:rsidR="00617345" w:rsidRPr="00617345">
        <w:rPr>
          <w:rFonts w:ascii="IBM Plex Sans" w:hAnsi="IBM Plex Sans"/>
          <w:i/>
          <w:iCs/>
          <w:sz w:val="16"/>
          <w:szCs w:val="16"/>
          <w:lang w:val="en-US"/>
        </w:rPr>
        <w:t xml:space="preserve"> </w:t>
      </w:r>
      <w:r w:rsidRPr="00853BFD">
        <w:rPr>
          <w:rFonts w:ascii="IBM Plex Sans" w:hAnsi="IBM Plex Sans"/>
          <w:i/>
          <w:iCs/>
          <w:sz w:val="16"/>
          <w:szCs w:val="16"/>
          <w:lang w:val="en-US"/>
        </w:rPr>
        <w:t>a</w:t>
      </w:r>
      <w:r w:rsidR="00617345" w:rsidRPr="00617345">
        <w:rPr>
          <w:rFonts w:ascii="IBM Plex Sans" w:hAnsi="IBM Plex Sans"/>
          <w:i/>
          <w:iCs/>
          <w:sz w:val="16"/>
          <w:szCs w:val="16"/>
          <w:lang w:val="en-US"/>
        </w:rPr>
        <w:t xml:space="preserve"> </w:t>
      </w:r>
      <w:r w:rsidRPr="00853BFD">
        <w:rPr>
          <w:rFonts w:ascii="IBM Plex Sans" w:hAnsi="IBM Plex Sans"/>
          <w:i/>
          <w:iCs/>
          <w:sz w:val="16"/>
          <w:szCs w:val="16"/>
          <w:lang w:val="en-US"/>
        </w:rPr>
        <w:t>world leader in the development and production of</w:t>
      </w:r>
      <w:r w:rsidR="00617345" w:rsidRPr="00617345">
        <w:rPr>
          <w:rFonts w:ascii="IBM Plex Sans" w:hAnsi="IBM Plex Sans"/>
          <w:i/>
          <w:iCs/>
          <w:sz w:val="16"/>
          <w:szCs w:val="16"/>
          <w:lang w:val="en-US"/>
        </w:rPr>
        <w:t xml:space="preserve"> </w:t>
      </w:r>
      <w:r w:rsidRPr="00853BFD">
        <w:rPr>
          <w:rFonts w:ascii="IBM Plex Sans" w:hAnsi="IBM Plex Sans"/>
          <w:i/>
          <w:iCs/>
          <w:sz w:val="16"/>
          <w:szCs w:val="16"/>
          <w:lang w:val="en-US"/>
        </w:rPr>
        <w:t>active pharmaceutical ingredients, intermediates and specialty ingredients, with 15 production sites, 5 R&amp;D centers and 2,700 employees on 3 continents. </w:t>
      </w:r>
    </w:p>
    <w:p w14:paraId="12E154C8" w14:textId="77777777" w:rsidR="00853BFD" w:rsidRPr="00617345" w:rsidRDefault="00853BFD" w:rsidP="00617345">
      <w:pPr>
        <w:jc w:val="both"/>
        <w:rPr>
          <w:rFonts w:ascii="IBM Plex Sans" w:hAnsi="IBM Plex Sans"/>
          <w:i/>
          <w:iCs/>
          <w:sz w:val="16"/>
          <w:szCs w:val="16"/>
          <w:lang w:val="en-US"/>
        </w:rPr>
      </w:pPr>
      <w:r w:rsidRPr="00853BFD">
        <w:rPr>
          <w:rFonts w:ascii="IBM Plex Sans" w:hAnsi="IBM Plex Sans"/>
          <w:i/>
          <w:iCs/>
          <w:sz w:val="16"/>
          <w:szCs w:val="16"/>
          <w:lang w:val="en-US"/>
        </w:rPr>
        <w:t>As an integrated player across the entire value chain - from raw materials to active ingredients and from R&amp;D to industrialization - SEQENS offers a broad portfolio of active pharmaceutical ingredients, pharmaceutical intermediates and specialty ingredients, develops and industrializes the most complex molecules, and leverages its ability to innovate, develop and implement the best available technologies. </w:t>
      </w:r>
    </w:p>
    <w:p w14:paraId="697E45A2" w14:textId="0C95B040" w:rsidR="00853BFD" w:rsidRPr="00853BFD" w:rsidRDefault="00617345" w:rsidP="00853BFD">
      <w:pPr>
        <w:jc w:val="both"/>
        <w:rPr>
          <w:rFonts w:ascii="IBM Plex Sans" w:hAnsi="IBM Plex Sans"/>
          <w:sz w:val="16"/>
          <w:szCs w:val="16"/>
          <w:lang w:val="en-US"/>
        </w:rPr>
      </w:pPr>
      <w:r w:rsidRPr="00617345">
        <w:rPr>
          <w:rFonts w:ascii="IBM Plex Sans" w:hAnsi="IBM Plex Sans"/>
          <w:sz w:val="16"/>
          <w:szCs w:val="16"/>
          <w:lang w:val="en-US"/>
        </w:rPr>
        <w:t>Contact us</w:t>
      </w:r>
      <w:r>
        <w:rPr>
          <w:rFonts w:ascii="IBM Plex Sans" w:hAnsi="IBM Plex Sans"/>
          <w:sz w:val="16"/>
          <w:szCs w:val="16"/>
          <w:lang w:val="en-US"/>
        </w:rPr>
        <w:t xml:space="preserve">: </w:t>
      </w:r>
      <w:r w:rsidR="00853BFD" w:rsidRPr="00853BFD">
        <w:rPr>
          <w:rFonts w:ascii="IBM Plex Sans" w:hAnsi="IBM Plex Sans"/>
          <w:sz w:val="16"/>
          <w:szCs w:val="16"/>
          <w:lang w:val="en-US"/>
        </w:rPr>
        <w:t>press@seqens.com / </w:t>
      </w:r>
      <w:hyperlink r:id="rId11" w:tgtFrame="_blank" w:history="1">
        <w:r w:rsidR="00853BFD" w:rsidRPr="00853BFD">
          <w:rPr>
            <w:rStyle w:val="Lienhypertexte"/>
            <w:rFonts w:ascii="IBM Plex Sans" w:hAnsi="IBM Plex Sans" w:cs="Calibri"/>
            <w:sz w:val="16"/>
            <w:szCs w:val="16"/>
            <w:lang w:val="en-US"/>
          </w:rPr>
          <w:t>www.seqens.com</w:t>
        </w:r>
      </w:hyperlink>
      <w:r w:rsidR="00853BFD" w:rsidRPr="00853BFD">
        <w:rPr>
          <w:rFonts w:ascii="IBM Plex Sans" w:hAnsi="IBM Plex Sans"/>
          <w:sz w:val="16"/>
          <w:szCs w:val="16"/>
          <w:lang w:val="en-US"/>
        </w:rPr>
        <w:t xml:space="preserve"> / LinkedIn: SEQENS </w:t>
      </w:r>
    </w:p>
    <w:p w14:paraId="3CECB22F" w14:textId="77777777" w:rsidR="00E30964" w:rsidRPr="00617345" w:rsidRDefault="00E30964" w:rsidP="004169B0">
      <w:pPr>
        <w:jc w:val="both"/>
        <w:rPr>
          <w:rFonts w:ascii="IBM Plex Sans" w:hAnsi="IBM Plex Sans"/>
          <w:sz w:val="20"/>
          <w:szCs w:val="20"/>
          <w:lang w:val="en-US"/>
        </w:rPr>
      </w:pPr>
    </w:p>
    <w:sectPr w:rsidR="00E30964" w:rsidRPr="00617345">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0F4066" w14:textId="77777777" w:rsidR="00575801" w:rsidRDefault="00575801" w:rsidP="004169B0">
      <w:r>
        <w:separator/>
      </w:r>
    </w:p>
  </w:endnote>
  <w:endnote w:type="continuationSeparator" w:id="0">
    <w:p w14:paraId="375785CE" w14:textId="77777777" w:rsidR="00575801" w:rsidRDefault="00575801" w:rsidP="004169B0">
      <w:r>
        <w:continuationSeparator/>
      </w:r>
    </w:p>
  </w:endnote>
  <w:endnote w:type="continuationNotice" w:id="1">
    <w:p w14:paraId="40CE5FB6" w14:textId="77777777" w:rsidR="00575801" w:rsidRDefault="005758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IBM Plex Sans">
    <w:charset w:val="00"/>
    <w:family w:val="swiss"/>
    <w:pitch w:val="variable"/>
    <w:sig w:usb0="A00002EF" w:usb1="5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CBB4F" w14:textId="77777777" w:rsidR="004169B0" w:rsidRDefault="004169B0" w:rsidP="004169B0">
    <w:r>
      <w:rPr>
        <w:b/>
        <w:sz w:val="14"/>
      </w:rPr>
      <w:t xml:space="preserve">www.seqens.com  </w:t>
    </w:r>
  </w:p>
  <w:p w14:paraId="6DBAB172" w14:textId="77777777" w:rsidR="004169B0" w:rsidRPr="004D05C4" w:rsidRDefault="004169B0" w:rsidP="004169B0">
    <w:pPr>
      <w:pStyle w:val="Pieddepage"/>
    </w:pPr>
    <w:r>
      <w:rPr>
        <w:sz w:val="14"/>
      </w:rPr>
      <w:t>SEQENS SAS - 21 chemin de la Sauvegarde, 21 Ecully Parc - CS 33167 - 69134 ECULLY Cedex - Capital Social 226 890 746.63 euros - 444 465 736 00049 RCS Lyon - Tel : +33 (0)4 26 99 18 00 - Fax : +33 (0)4 26 99 18 38</w:t>
    </w:r>
  </w:p>
  <w:p w14:paraId="7E1A1779" w14:textId="77777777" w:rsidR="004169B0" w:rsidRDefault="004169B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4E65C" w14:textId="77777777" w:rsidR="00575801" w:rsidRDefault="00575801" w:rsidP="004169B0">
      <w:r>
        <w:separator/>
      </w:r>
    </w:p>
  </w:footnote>
  <w:footnote w:type="continuationSeparator" w:id="0">
    <w:p w14:paraId="1D1AF1AA" w14:textId="77777777" w:rsidR="00575801" w:rsidRDefault="00575801" w:rsidP="004169B0">
      <w:r>
        <w:continuationSeparator/>
      </w:r>
    </w:p>
  </w:footnote>
  <w:footnote w:type="continuationNotice" w:id="1">
    <w:p w14:paraId="2FCD606F" w14:textId="77777777" w:rsidR="00575801" w:rsidRDefault="0057580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17771" w14:textId="7FE271C1" w:rsidR="004169B0" w:rsidRDefault="004169B0">
    <w:pPr>
      <w:pStyle w:val="En-tte"/>
    </w:pPr>
    <w:r>
      <w:rPr>
        <w:noProof/>
      </w:rPr>
      <w:drawing>
        <wp:anchor distT="0" distB="0" distL="114300" distR="114300" simplePos="0" relativeHeight="251658240" behindDoc="1" locked="0" layoutInCell="1" allowOverlap="1" wp14:anchorId="254405C4" wp14:editId="2D32FAF7">
          <wp:simplePos x="0" y="0"/>
          <wp:positionH relativeFrom="column">
            <wp:posOffset>-182880</wp:posOffset>
          </wp:positionH>
          <wp:positionV relativeFrom="paragraph">
            <wp:posOffset>-357837</wp:posOffset>
          </wp:positionV>
          <wp:extent cx="1842567" cy="803910"/>
          <wp:effectExtent l="0" t="0" r="5715" b="0"/>
          <wp:wrapNone/>
          <wp:docPr id="788272764" name="Picture 788272764"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72764" name="Image 1" descr="Une image contenant texte, Police, logo, Graphique&#10;&#10;Description générée automatiquemen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42567" cy="80391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9B0"/>
    <w:rsid w:val="00051942"/>
    <w:rsid w:val="000669CA"/>
    <w:rsid w:val="000727A4"/>
    <w:rsid w:val="0008333B"/>
    <w:rsid w:val="000A65EE"/>
    <w:rsid w:val="000B303A"/>
    <w:rsid w:val="000C5D0B"/>
    <w:rsid w:val="000E6E6E"/>
    <w:rsid w:val="000F66D7"/>
    <w:rsid w:val="001225AA"/>
    <w:rsid w:val="00123BD9"/>
    <w:rsid w:val="00126A7B"/>
    <w:rsid w:val="00147DFC"/>
    <w:rsid w:val="001753E1"/>
    <w:rsid w:val="0017566A"/>
    <w:rsid w:val="00197242"/>
    <w:rsid w:val="001A15C4"/>
    <w:rsid w:val="001A3D36"/>
    <w:rsid w:val="001E17D4"/>
    <w:rsid w:val="002040FA"/>
    <w:rsid w:val="00212B7D"/>
    <w:rsid w:val="00222A89"/>
    <w:rsid w:val="002355DD"/>
    <w:rsid w:val="0024056A"/>
    <w:rsid w:val="0027211E"/>
    <w:rsid w:val="002722ED"/>
    <w:rsid w:val="00284366"/>
    <w:rsid w:val="0028736D"/>
    <w:rsid w:val="00306F80"/>
    <w:rsid w:val="00331F0E"/>
    <w:rsid w:val="00334E09"/>
    <w:rsid w:val="003661E9"/>
    <w:rsid w:val="00384E37"/>
    <w:rsid w:val="003A5357"/>
    <w:rsid w:val="003B6EE3"/>
    <w:rsid w:val="003E4DD1"/>
    <w:rsid w:val="003E53C9"/>
    <w:rsid w:val="004145EE"/>
    <w:rsid w:val="004169B0"/>
    <w:rsid w:val="00457F2E"/>
    <w:rsid w:val="00463748"/>
    <w:rsid w:val="00473D07"/>
    <w:rsid w:val="00490F52"/>
    <w:rsid w:val="004A23FD"/>
    <w:rsid w:val="004D443B"/>
    <w:rsid w:val="004F38F5"/>
    <w:rsid w:val="00523AA9"/>
    <w:rsid w:val="005403B4"/>
    <w:rsid w:val="00542CED"/>
    <w:rsid w:val="005507C1"/>
    <w:rsid w:val="005642CE"/>
    <w:rsid w:val="00575801"/>
    <w:rsid w:val="005877D2"/>
    <w:rsid w:val="005E2651"/>
    <w:rsid w:val="00603290"/>
    <w:rsid w:val="00617345"/>
    <w:rsid w:val="006338DD"/>
    <w:rsid w:val="00651FEE"/>
    <w:rsid w:val="00652675"/>
    <w:rsid w:val="00657377"/>
    <w:rsid w:val="006612EA"/>
    <w:rsid w:val="006916BC"/>
    <w:rsid w:val="006E66F2"/>
    <w:rsid w:val="006E7335"/>
    <w:rsid w:val="006E7FD1"/>
    <w:rsid w:val="006F4D1B"/>
    <w:rsid w:val="007224C6"/>
    <w:rsid w:val="007377C5"/>
    <w:rsid w:val="007477F4"/>
    <w:rsid w:val="0077648E"/>
    <w:rsid w:val="00783D75"/>
    <w:rsid w:val="00791E08"/>
    <w:rsid w:val="007B472E"/>
    <w:rsid w:val="007C6B22"/>
    <w:rsid w:val="007E2404"/>
    <w:rsid w:val="007E76DC"/>
    <w:rsid w:val="007F7DF5"/>
    <w:rsid w:val="00823D70"/>
    <w:rsid w:val="0082590A"/>
    <w:rsid w:val="008319D4"/>
    <w:rsid w:val="008366C3"/>
    <w:rsid w:val="008446FA"/>
    <w:rsid w:val="00847D3D"/>
    <w:rsid w:val="00853BFD"/>
    <w:rsid w:val="00853C20"/>
    <w:rsid w:val="0088528B"/>
    <w:rsid w:val="0089105A"/>
    <w:rsid w:val="008A0C17"/>
    <w:rsid w:val="008B522E"/>
    <w:rsid w:val="008D007C"/>
    <w:rsid w:val="00906151"/>
    <w:rsid w:val="00991E48"/>
    <w:rsid w:val="009A236F"/>
    <w:rsid w:val="009E5D6C"/>
    <w:rsid w:val="00A63891"/>
    <w:rsid w:val="00A63A3D"/>
    <w:rsid w:val="00A67659"/>
    <w:rsid w:val="00A84A34"/>
    <w:rsid w:val="00AA71D4"/>
    <w:rsid w:val="00AB2F0E"/>
    <w:rsid w:val="00AB647D"/>
    <w:rsid w:val="00AD5969"/>
    <w:rsid w:val="00AD7F2F"/>
    <w:rsid w:val="00AE4984"/>
    <w:rsid w:val="00B51314"/>
    <w:rsid w:val="00B55618"/>
    <w:rsid w:val="00B730DD"/>
    <w:rsid w:val="00B92E42"/>
    <w:rsid w:val="00B93424"/>
    <w:rsid w:val="00B9561D"/>
    <w:rsid w:val="00B956A1"/>
    <w:rsid w:val="00BB68DC"/>
    <w:rsid w:val="00BC66DE"/>
    <w:rsid w:val="00BD1EA2"/>
    <w:rsid w:val="00C2707B"/>
    <w:rsid w:val="00C42133"/>
    <w:rsid w:val="00C869CF"/>
    <w:rsid w:val="00C9260E"/>
    <w:rsid w:val="00C959C6"/>
    <w:rsid w:val="00C96CE3"/>
    <w:rsid w:val="00CB203E"/>
    <w:rsid w:val="00CB5AA3"/>
    <w:rsid w:val="00CB7836"/>
    <w:rsid w:val="00CC6C2D"/>
    <w:rsid w:val="00CF12C2"/>
    <w:rsid w:val="00CF5791"/>
    <w:rsid w:val="00D05864"/>
    <w:rsid w:val="00D35768"/>
    <w:rsid w:val="00D45509"/>
    <w:rsid w:val="00D62670"/>
    <w:rsid w:val="00DA161E"/>
    <w:rsid w:val="00DB755B"/>
    <w:rsid w:val="00E053E4"/>
    <w:rsid w:val="00E234DB"/>
    <w:rsid w:val="00E30964"/>
    <w:rsid w:val="00E552D8"/>
    <w:rsid w:val="00E5618A"/>
    <w:rsid w:val="00E65326"/>
    <w:rsid w:val="00E819E1"/>
    <w:rsid w:val="00E96F52"/>
    <w:rsid w:val="00E97B23"/>
    <w:rsid w:val="00EB3642"/>
    <w:rsid w:val="00EC1FBB"/>
    <w:rsid w:val="00EF3206"/>
    <w:rsid w:val="00F070C4"/>
    <w:rsid w:val="00F535F4"/>
    <w:rsid w:val="00F57B76"/>
    <w:rsid w:val="00F826CC"/>
    <w:rsid w:val="00FA6B82"/>
    <w:rsid w:val="00FB074D"/>
    <w:rsid w:val="00FD47EC"/>
    <w:rsid w:val="00FE3385"/>
    <w:rsid w:val="00FE4275"/>
    <w:rsid w:val="00FF4F01"/>
    <w:rsid w:val="3B4F54F9"/>
    <w:rsid w:val="6AE8C22D"/>
    <w:rsid w:val="7AE17AC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F90C07"/>
  <w15:chartTrackingRefBased/>
  <w15:docId w15:val="{04E4952A-7B09-4027-A4A3-A51E86609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69B0"/>
    <w:pPr>
      <w:spacing w:after="0" w:line="240" w:lineRule="auto"/>
    </w:pPr>
    <w:rPr>
      <w:rFonts w:ascii="Calibri" w:hAnsi="Calibri" w:cs="Calibri"/>
      <w:kern w:val="0"/>
      <w:lang w:eastAsia="fr-FR"/>
      <w14:ligatures w14:val="none"/>
    </w:rPr>
  </w:style>
  <w:style w:type="paragraph" w:styleId="Titre1">
    <w:name w:val="heading 1"/>
    <w:basedOn w:val="Normal"/>
    <w:next w:val="Normal"/>
    <w:link w:val="Titre1Car"/>
    <w:uiPriority w:val="9"/>
    <w:qFormat/>
    <w:rsid w:val="004169B0"/>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re2">
    <w:name w:val="heading 2"/>
    <w:basedOn w:val="Normal"/>
    <w:next w:val="Normal"/>
    <w:link w:val="Titre2Car"/>
    <w:uiPriority w:val="9"/>
    <w:semiHidden/>
    <w:unhideWhenUsed/>
    <w:qFormat/>
    <w:rsid w:val="004169B0"/>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re3">
    <w:name w:val="heading 3"/>
    <w:basedOn w:val="Normal"/>
    <w:next w:val="Normal"/>
    <w:link w:val="Titre3Car"/>
    <w:uiPriority w:val="9"/>
    <w:semiHidden/>
    <w:unhideWhenUsed/>
    <w:qFormat/>
    <w:rsid w:val="004169B0"/>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re4">
    <w:name w:val="heading 4"/>
    <w:basedOn w:val="Normal"/>
    <w:next w:val="Normal"/>
    <w:link w:val="Titre4Car"/>
    <w:uiPriority w:val="9"/>
    <w:semiHidden/>
    <w:unhideWhenUsed/>
    <w:qFormat/>
    <w:rsid w:val="004169B0"/>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itre5">
    <w:name w:val="heading 5"/>
    <w:basedOn w:val="Normal"/>
    <w:next w:val="Normal"/>
    <w:link w:val="Titre5Car"/>
    <w:uiPriority w:val="9"/>
    <w:semiHidden/>
    <w:unhideWhenUsed/>
    <w:qFormat/>
    <w:rsid w:val="004169B0"/>
    <w:pPr>
      <w:keepNext/>
      <w:keepLines/>
      <w:spacing w:before="80" w:after="40" w:line="259"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itre6">
    <w:name w:val="heading 6"/>
    <w:basedOn w:val="Normal"/>
    <w:next w:val="Normal"/>
    <w:link w:val="Titre6Car"/>
    <w:uiPriority w:val="9"/>
    <w:semiHidden/>
    <w:unhideWhenUsed/>
    <w:qFormat/>
    <w:rsid w:val="004169B0"/>
    <w:pPr>
      <w:keepNext/>
      <w:keepLines/>
      <w:spacing w:before="40" w:line="259"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itre7">
    <w:name w:val="heading 7"/>
    <w:basedOn w:val="Normal"/>
    <w:next w:val="Normal"/>
    <w:link w:val="Titre7Car"/>
    <w:uiPriority w:val="9"/>
    <w:semiHidden/>
    <w:unhideWhenUsed/>
    <w:qFormat/>
    <w:rsid w:val="004169B0"/>
    <w:pPr>
      <w:keepNext/>
      <w:keepLines/>
      <w:spacing w:before="40" w:line="259"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itre8">
    <w:name w:val="heading 8"/>
    <w:basedOn w:val="Normal"/>
    <w:next w:val="Normal"/>
    <w:link w:val="Titre8Car"/>
    <w:uiPriority w:val="9"/>
    <w:semiHidden/>
    <w:unhideWhenUsed/>
    <w:qFormat/>
    <w:rsid w:val="004169B0"/>
    <w:pPr>
      <w:keepNext/>
      <w:keepLines/>
      <w:spacing w:line="259"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itre9">
    <w:name w:val="heading 9"/>
    <w:basedOn w:val="Normal"/>
    <w:next w:val="Normal"/>
    <w:link w:val="Titre9Car"/>
    <w:uiPriority w:val="9"/>
    <w:semiHidden/>
    <w:unhideWhenUsed/>
    <w:qFormat/>
    <w:rsid w:val="004169B0"/>
    <w:pPr>
      <w:keepNext/>
      <w:keepLines/>
      <w:spacing w:line="259"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169B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4169B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169B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169B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169B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169B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169B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169B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169B0"/>
    <w:rPr>
      <w:rFonts w:eastAsiaTheme="majorEastAsia" w:cstheme="majorBidi"/>
      <w:color w:val="272727" w:themeColor="text1" w:themeTint="D8"/>
    </w:rPr>
  </w:style>
  <w:style w:type="paragraph" w:styleId="Titre">
    <w:name w:val="Title"/>
    <w:basedOn w:val="Normal"/>
    <w:next w:val="Normal"/>
    <w:link w:val="TitreCar"/>
    <w:uiPriority w:val="10"/>
    <w:qFormat/>
    <w:rsid w:val="004169B0"/>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reCar">
    <w:name w:val="Titre Car"/>
    <w:basedOn w:val="Policepardfaut"/>
    <w:link w:val="Titre"/>
    <w:uiPriority w:val="10"/>
    <w:rsid w:val="004169B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169B0"/>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us-titreCar">
    <w:name w:val="Sous-titre Car"/>
    <w:basedOn w:val="Policepardfaut"/>
    <w:link w:val="Sous-titre"/>
    <w:uiPriority w:val="11"/>
    <w:rsid w:val="004169B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169B0"/>
    <w:pPr>
      <w:spacing w:before="160" w:after="160" w:line="259" w:lineRule="auto"/>
      <w:jc w:val="center"/>
    </w:pPr>
    <w:rPr>
      <w:rFonts w:asciiTheme="minorHAnsi" w:hAnsiTheme="minorHAnsi" w:cstheme="minorBidi"/>
      <w:i/>
      <w:iCs/>
      <w:color w:val="404040" w:themeColor="text1" w:themeTint="BF"/>
      <w:kern w:val="2"/>
      <w:lang w:eastAsia="en-US"/>
      <w14:ligatures w14:val="standardContextual"/>
    </w:rPr>
  </w:style>
  <w:style w:type="character" w:customStyle="1" w:styleId="CitationCar">
    <w:name w:val="Citation Car"/>
    <w:basedOn w:val="Policepardfaut"/>
    <w:link w:val="Citation"/>
    <w:uiPriority w:val="29"/>
    <w:rsid w:val="004169B0"/>
    <w:rPr>
      <w:i/>
      <w:iCs/>
      <w:color w:val="404040" w:themeColor="text1" w:themeTint="BF"/>
    </w:rPr>
  </w:style>
  <w:style w:type="paragraph" w:styleId="Paragraphedeliste">
    <w:name w:val="List Paragraph"/>
    <w:basedOn w:val="Normal"/>
    <w:uiPriority w:val="34"/>
    <w:qFormat/>
    <w:rsid w:val="004169B0"/>
    <w:pPr>
      <w:spacing w:after="160" w:line="259" w:lineRule="auto"/>
      <w:ind w:left="720"/>
      <w:contextualSpacing/>
    </w:pPr>
    <w:rPr>
      <w:rFonts w:asciiTheme="minorHAnsi" w:hAnsiTheme="minorHAnsi" w:cstheme="minorBidi"/>
      <w:kern w:val="2"/>
      <w:lang w:eastAsia="en-US"/>
      <w14:ligatures w14:val="standardContextual"/>
    </w:rPr>
  </w:style>
  <w:style w:type="character" w:styleId="Accentuationintense">
    <w:name w:val="Intense Emphasis"/>
    <w:basedOn w:val="Policepardfaut"/>
    <w:uiPriority w:val="21"/>
    <w:qFormat/>
    <w:rsid w:val="004169B0"/>
    <w:rPr>
      <w:i/>
      <w:iCs/>
      <w:color w:val="0F4761" w:themeColor="accent1" w:themeShade="BF"/>
    </w:rPr>
  </w:style>
  <w:style w:type="paragraph" w:styleId="Citationintense">
    <w:name w:val="Intense Quote"/>
    <w:basedOn w:val="Normal"/>
    <w:next w:val="Normal"/>
    <w:link w:val="CitationintenseCar"/>
    <w:uiPriority w:val="30"/>
    <w:qFormat/>
    <w:rsid w:val="004169B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lang w:eastAsia="en-US"/>
      <w14:ligatures w14:val="standardContextual"/>
    </w:rPr>
  </w:style>
  <w:style w:type="character" w:customStyle="1" w:styleId="CitationintenseCar">
    <w:name w:val="Citation intense Car"/>
    <w:basedOn w:val="Policepardfaut"/>
    <w:link w:val="Citationintense"/>
    <w:uiPriority w:val="30"/>
    <w:rsid w:val="004169B0"/>
    <w:rPr>
      <w:i/>
      <w:iCs/>
      <w:color w:val="0F4761" w:themeColor="accent1" w:themeShade="BF"/>
    </w:rPr>
  </w:style>
  <w:style w:type="character" w:styleId="Rfrenceintense">
    <w:name w:val="Intense Reference"/>
    <w:basedOn w:val="Policepardfaut"/>
    <w:uiPriority w:val="32"/>
    <w:qFormat/>
    <w:rsid w:val="004169B0"/>
    <w:rPr>
      <w:b/>
      <w:bCs/>
      <w:smallCaps/>
      <w:color w:val="0F4761" w:themeColor="accent1" w:themeShade="BF"/>
      <w:spacing w:val="5"/>
    </w:rPr>
  </w:style>
  <w:style w:type="paragraph" w:styleId="En-tte">
    <w:name w:val="header"/>
    <w:basedOn w:val="Normal"/>
    <w:link w:val="En-tteCar"/>
    <w:uiPriority w:val="99"/>
    <w:unhideWhenUsed/>
    <w:rsid w:val="004169B0"/>
    <w:pPr>
      <w:tabs>
        <w:tab w:val="center" w:pos="4536"/>
        <w:tab w:val="right" w:pos="9072"/>
      </w:tabs>
    </w:pPr>
    <w:rPr>
      <w:rFonts w:asciiTheme="minorHAnsi" w:hAnsiTheme="minorHAnsi" w:cstheme="minorBidi"/>
      <w:kern w:val="2"/>
      <w:lang w:eastAsia="en-US"/>
      <w14:ligatures w14:val="standardContextual"/>
    </w:rPr>
  </w:style>
  <w:style w:type="character" w:customStyle="1" w:styleId="En-tteCar">
    <w:name w:val="En-tête Car"/>
    <w:basedOn w:val="Policepardfaut"/>
    <w:link w:val="En-tte"/>
    <w:uiPriority w:val="99"/>
    <w:rsid w:val="004169B0"/>
  </w:style>
  <w:style w:type="paragraph" w:styleId="Pieddepage">
    <w:name w:val="footer"/>
    <w:basedOn w:val="Normal"/>
    <w:link w:val="PieddepageCar"/>
    <w:unhideWhenUsed/>
    <w:rsid w:val="004169B0"/>
    <w:pPr>
      <w:tabs>
        <w:tab w:val="center" w:pos="4536"/>
        <w:tab w:val="right" w:pos="9072"/>
      </w:tabs>
    </w:pPr>
    <w:rPr>
      <w:rFonts w:asciiTheme="minorHAnsi" w:hAnsiTheme="minorHAnsi" w:cstheme="minorBidi"/>
      <w:kern w:val="2"/>
      <w:lang w:eastAsia="en-US"/>
      <w14:ligatures w14:val="standardContextual"/>
    </w:rPr>
  </w:style>
  <w:style w:type="character" w:customStyle="1" w:styleId="PieddepageCar">
    <w:name w:val="Pied de page Car"/>
    <w:basedOn w:val="Policepardfaut"/>
    <w:link w:val="Pieddepage"/>
    <w:rsid w:val="004169B0"/>
  </w:style>
  <w:style w:type="character" w:styleId="Lienhypertexte">
    <w:name w:val="Hyperlink"/>
    <w:rsid w:val="004169B0"/>
    <w:rPr>
      <w:rFonts w:cs="Times New Roman"/>
      <w:color w:val="0563C1"/>
      <w:u w:val="single"/>
    </w:rPr>
  </w:style>
  <w:style w:type="character" w:styleId="Mentionnonrsolue">
    <w:name w:val="Unresolved Mention"/>
    <w:basedOn w:val="Policepardfaut"/>
    <w:uiPriority w:val="99"/>
    <w:semiHidden/>
    <w:unhideWhenUsed/>
    <w:rsid w:val="00051942"/>
    <w:rPr>
      <w:color w:val="605E5C"/>
      <w:shd w:val="clear" w:color="auto" w:fill="E1DFDD"/>
    </w:rPr>
  </w:style>
  <w:style w:type="paragraph" w:styleId="Rvision">
    <w:name w:val="Revision"/>
    <w:hidden/>
    <w:uiPriority w:val="99"/>
    <w:semiHidden/>
    <w:rsid w:val="00E552D8"/>
    <w:pPr>
      <w:spacing w:after="0" w:line="240" w:lineRule="auto"/>
    </w:pPr>
    <w:rPr>
      <w:rFonts w:ascii="Calibri" w:hAnsi="Calibri" w:cs="Calibri"/>
      <w:kern w:val="0"/>
      <w:lang w:eastAsia="fr-FR"/>
      <w14:ligatures w14:val="none"/>
    </w:rPr>
  </w:style>
  <w:style w:type="character" w:styleId="Marquedecommentaire">
    <w:name w:val="annotation reference"/>
    <w:basedOn w:val="Policepardfaut"/>
    <w:uiPriority w:val="99"/>
    <w:semiHidden/>
    <w:unhideWhenUsed/>
    <w:rsid w:val="00847D3D"/>
    <w:rPr>
      <w:sz w:val="16"/>
      <w:szCs w:val="16"/>
    </w:rPr>
  </w:style>
  <w:style w:type="paragraph" w:styleId="Commentaire">
    <w:name w:val="annotation text"/>
    <w:basedOn w:val="Normal"/>
    <w:link w:val="CommentaireCar"/>
    <w:uiPriority w:val="99"/>
    <w:unhideWhenUsed/>
    <w:rsid w:val="00847D3D"/>
    <w:rPr>
      <w:sz w:val="20"/>
      <w:szCs w:val="20"/>
    </w:rPr>
  </w:style>
  <w:style w:type="character" w:customStyle="1" w:styleId="CommentaireCar">
    <w:name w:val="Commentaire Car"/>
    <w:basedOn w:val="Policepardfaut"/>
    <w:link w:val="Commentaire"/>
    <w:uiPriority w:val="99"/>
    <w:rsid w:val="00847D3D"/>
    <w:rPr>
      <w:rFonts w:ascii="Calibri" w:hAnsi="Calibri" w:cs="Calibri"/>
      <w:kern w:val="0"/>
      <w:sz w:val="20"/>
      <w:szCs w:val="20"/>
      <w:lang w:eastAsia="fr-FR"/>
      <w14:ligatures w14:val="none"/>
    </w:rPr>
  </w:style>
  <w:style w:type="paragraph" w:styleId="Objetducommentaire">
    <w:name w:val="annotation subject"/>
    <w:basedOn w:val="Commentaire"/>
    <w:next w:val="Commentaire"/>
    <w:link w:val="ObjetducommentaireCar"/>
    <w:uiPriority w:val="99"/>
    <w:semiHidden/>
    <w:unhideWhenUsed/>
    <w:rsid w:val="00847D3D"/>
    <w:rPr>
      <w:b/>
      <w:bCs/>
    </w:rPr>
  </w:style>
  <w:style w:type="character" w:customStyle="1" w:styleId="ObjetducommentaireCar">
    <w:name w:val="Objet du commentaire Car"/>
    <w:basedOn w:val="CommentaireCar"/>
    <w:link w:val="Objetducommentaire"/>
    <w:uiPriority w:val="99"/>
    <w:semiHidden/>
    <w:rsid w:val="00847D3D"/>
    <w:rPr>
      <w:rFonts w:ascii="Calibri" w:hAnsi="Calibri" w:cs="Calibri"/>
      <w:b/>
      <w:bCs/>
      <w:kern w:val="0"/>
      <w:sz w:val="20"/>
      <w:szCs w:val="2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3469781">
      <w:bodyDiv w:val="1"/>
      <w:marLeft w:val="0"/>
      <w:marRight w:val="0"/>
      <w:marTop w:val="0"/>
      <w:marBottom w:val="0"/>
      <w:divBdr>
        <w:top w:val="none" w:sz="0" w:space="0" w:color="auto"/>
        <w:left w:val="none" w:sz="0" w:space="0" w:color="auto"/>
        <w:bottom w:val="none" w:sz="0" w:space="0" w:color="auto"/>
        <w:right w:val="none" w:sz="0" w:space="0" w:color="auto"/>
      </w:divBdr>
    </w:div>
    <w:div w:id="638147647">
      <w:bodyDiv w:val="1"/>
      <w:marLeft w:val="0"/>
      <w:marRight w:val="0"/>
      <w:marTop w:val="0"/>
      <w:marBottom w:val="0"/>
      <w:divBdr>
        <w:top w:val="none" w:sz="0" w:space="0" w:color="auto"/>
        <w:left w:val="none" w:sz="0" w:space="0" w:color="auto"/>
        <w:bottom w:val="none" w:sz="0" w:space="0" w:color="auto"/>
        <w:right w:val="none" w:sz="0" w:space="0" w:color="auto"/>
      </w:divBdr>
    </w:div>
    <w:div w:id="938440641">
      <w:bodyDiv w:val="1"/>
      <w:marLeft w:val="0"/>
      <w:marRight w:val="0"/>
      <w:marTop w:val="0"/>
      <w:marBottom w:val="0"/>
      <w:divBdr>
        <w:top w:val="none" w:sz="0" w:space="0" w:color="auto"/>
        <w:left w:val="none" w:sz="0" w:space="0" w:color="auto"/>
        <w:bottom w:val="none" w:sz="0" w:space="0" w:color="auto"/>
        <w:right w:val="none" w:sz="0" w:space="0" w:color="auto"/>
      </w:divBdr>
    </w:div>
    <w:div w:id="1279066571">
      <w:bodyDiv w:val="1"/>
      <w:marLeft w:val="0"/>
      <w:marRight w:val="0"/>
      <w:marTop w:val="0"/>
      <w:marBottom w:val="0"/>
      <w:divBdr>
        <w:top w:val="none" w:sz="0" w:space="0" w:color="auto"/>
        <w:left w:val="none" w:sz="0" w:space="0" w:color="auto"/>
        <w:bottom w:val="none" w:sz="0" w:space="0" w:color="auto"/>
        <w:right w:val="none" w:sz="0" w:space="0" w:color="auto"/>
      </w:divBdr>
    </w:div>
    <w:div w:id="1529953543">
      <w:bodyDiv w:val="1"/>
      <w:marLeft w:val="0"/>
      <w:marRight w:val="0"/>
      <w:marTop w:val="0"/>
      <w:marBottom w:val="0"/>
      <w:divBdr>
        <w:top w:val="none" w:sz="0" w:space="0" w:color="auto"/>
        <w:left w:val="none" w:sz="0" w:space="0" w:color="auto"/>
        <w:bottom w:val="none" w:sz="0" w:space="0" w:color="auto"/>
        <w:right w:val="none" w:sz="0" w:space="0" w:color="auto"/>
      </w:divBdr>
    </w:div>
    <w:div w:id="2016221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qens.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solabia.com/e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2a483a3-5205-4373-a29e-f1ee7f33d29d" xsi:nil="true"/>
    <lcf76f155ced4ddcb4097134ff3c332f xmlns="ccd488cb-dbc8-4e9b-b101-a9ad381fe464">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F06749CF7B3C640BBA3EE62D967A26D" ma:contentTypeVersion="16" ma:contentTypeDescription="Crée un document." ma:contentTypeScope="" ma:versionID="47e7809864e282a4dec6382798557270">
  <xsd:schema xmlns:xsd="http://www.w3.org/2001/XMLSchema" xmlns:xs="http://www.w3.org/2001/XMLSchema" xmlns:p="http://schemas.microsoft.com/office/2006/metadata/properties" xmlns:ns2="ccd488cb-dbc8-4e9b-b101-a9ad381fe464" xmlns:ns3="f2a483a3-5205-4373-a29e-f1ee7f33d29d" targetNamespace="http://schemas.microsoft.com/office/2006/metadata/properties" ma:root="true" ma:fieldsID="ed1d7f24e3561b8c911439290017a73e" ns2:_="" ns3:_="">
    <xsd:import namespace="ccd488cb-dbc8-4e9b-b101-a9ad381fe464"/>
    <xsd:import namespace="f2a483a3-5205-4373-a29e-f1ee7f33d29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d488cb-dbc8-4e9b-b101-a9ad381fe4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aba2309b-1b07-495a-8f39-0517565bdea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2a483a3-5205-4373-a29e-f1ee7f33d29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5ea01d2-1d15-4bfa-b703-718f0a78e4ad}" ma:internalName="TaxCatchAll" ma:showField="CatchAllData" ma:web="f2a483a3-5205-4373-a29e-f1ee7f33d29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A801A7-463A-4E5D-BFE5-AD51B572AAEC}">
  <ds:schemaRefs>
    <ds:schemaRef ds:uri="http://schemas.microsoft.com/sharepoint/v3/contenttype/forms"/>
  </ds:schemaRefs>
</ds:datastoreItem>
</file>

<file path=customXml/itemProps2.xml><?xml version="1.0" encoding="utf-8"?>
<ds:datastoreItem xmlns:ds="http://schemas.openxmlformats.org/officeDocument/2006/customXml" ds:itemID="{DA8639EC-BB3A-4EF0-B1BD-B09E0A65504F}">
  <ds:schemaRefs>
    <ds:schemaRef ds:uri="http://schemas.microsoft.com/office/2006/metadata/properties"/>
    <ds:schemaRef ds:uri="http://schemas.microsoft.com/office/infopath/2007/PartnerControls"/>
    <ds:schemaRef ds:uri="f2a483a3-5205-4373-a29e-f1ee7f33d29d"/>
    <ds:schemaRef ds:uri="ccd488cb-dbc8-4e9b-b101-a9ad381fe464"/>
  </ds:schemaRefs>
</ds:datastoreItem>
</file>

<file path=customXml/itemProps3.xml><?xml version="1.0" encoding="utf-8"?>
<ds:datastoreItem xmlns:ds="http://schemas.openxmlformats.org/officeDocument/2006/customXml" ds:itemID="{958F63B1-0177-4D9B-8717-9CE0815110CB}"/>
</file>

<file path=docProps/app.xml><?xml version="1.0" encoding="utf-8"?>
<Properties xmlns="http://schemas.openxmlformats.org/officeDocument/2006/extended-properties" xmlns:vt="http://schemas.openxmlformats.org/officeDocument/2006/docPropsVTypes">
  <Template>Normal</Template>
  <TotalTime>56</TotalTime>
  <Pages>1</Pages>
  <Words>471</Words>
  <Characters>2919</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SEQENS</Company>
  <LinksUpToDate>false</LinksUpToDate>
  <CharactersWithSpaces>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Lissom, Leila</dc:creator>
  <cp:keywords/>
  <dc:description/>
  <cp:lastModifiedBy>Serol, Amandine</cp:lastModifiedBy>
  <cp:revision>12</cp:revision>
  <cp:lastPrinted>2025-02-17T10:17:00Z</cp:lastPrinted>
  <dcterms:created xsi:type="dcterms:W3CDTF">2025-02-17T10:16:00Z</dcterms:created>
  <dcterms:modified xsi:type="dcterms:W3CDTF">2026-03-05T09:42:00Z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49371f63-b56f-493c-9224-02da7013af02</vt:lpwstr>
  </property>
  <property fmtid="{D5CDD505-2E9C-101B-9397-08002B2CF9AE}" pid="3" name="MediaServiceImageTags">
    <vt:lpwstr/>
  </property>
  <property fmtid="{D5CDD505-2E9C-101B-9397-08002B2CF9AE}" pid="4" name="ContentTypeId">
    <vt:lpwstr>0x0101007F06749CF7B3C640BBA3EE62D967A26D</vt:lpwstr>
  </property>
  <property fmtid="{D5CDD505-2E9C-101B-9397-08002B2CF9AE}" pid="5" name="docLang">
    <vt:lpwstr>en</vt:lpwstr>
  </property>
</Properties>
</file>